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rPr>
          <w:rFonts w:cs="Arial Narrow" w:ascii="Arial Narrow" w:hAnsi="Arial Narrow"/>
          <w:sz w:val="32"/>
          <w:szCs w:val="32"/>
        </w:rPr>
      </w:pPr>
      <w:r>
        <w:rPr>
          <w:rFonts w:cs="Arial Narrow" w:ascii="Arial Narrow" w:hAnsi="Arial Narrow"/>
          <w:sz w:val="32"/>
          <w:szCs w:val="32"/>
        </w:rPr>
        <w:t>2. Zum Wissenschaftsbegriff</w:t>
      </w:r>
    </w:p>
    <w:p>
      <w:pPr>
        <w:pStyle w:val="Normal"/>
        <w:rPr>
          <w:rFonts w:cs="Arial Narrow" w:ascii="Arial Narrow" w:hAnsi="Arial Narrow"/>
          <w:sz w:val="22"/>
          <w:szCs w:val="22"/>
        </w:rPr>
      </w:pPr>
      <w:r>
        <w:rPr>
          <w:rFonts w:cs="Arial Narrow" w:ascii="Arial Narrow" w:hAnsi="Arial Narrow"/>
          <w:sz w:val="22"/>
          <w:szCs w:val="22"/>
        </w:rPr>
      </w:r>
    </w:p>
    <w:tbl>
      <w:tblPr>
        <w:jc w:val="left"/>
        <w:tblInd w:w="55" w:type="dxa"/>
        <w:tblBorders>
          <w:top w:val="single" w:sz="2" w:space="0" w:color="808080"/>
          <w:left w:val="nil"/>
          <w:bottom w:val="nil"/>
          <w:insideH w:val="nil"/>
          <w:right w:val="nil"/>
          <w:insideV w:val="nil"/>
        </w:tblBorders>
        <w:tblCellMar>
          <w:top w:w="55" w:type="dxa"/>
          <w:left w:w="55" w:type="dxa"/>
          <w:bottom w:w="55" w:type="dxa"/>
          <w:right w:w="55" w:type="dxa"/>
        </w:tblCellMar>
      </w:tblPr>
      <w:tblGrid>
        <w:gridCol w:w="6802"/>
        <w:gridCol w:w="2211"/>
        <w:gridCol w:w="284"/>
        <w:gridCol w:w="5275"/>
      </w:tblGrid>
      <w:tr>
        <w:trPr>
          <w:cantSplit w:val="false"/>
        </w:trPr>
        <w:tc>
          <w:tcPr>
            <w:tcW w:w="6802" w:type="dxa"/>
            <w:tcBorders>
              <w:top w:val="single" w:sz="2" w:space="0" w:color="808080"/>
              <w:left w:val="nil"/>
              <w:bottom w:val="nil"/>
              <w:insideH w:val="nil"/>
              <w:right w:val="nil"/>
              <w:insideV w:val="nil"/>
            </w:tcBorders>
            <w:shd w:fill="FFFFFF" w:val="clear"/>
          </w:tcPr>
          <w:p>
            <w:pPr>
              <w:pStyle w:val="Textkrper"/>
              <w:spacing w:before="0" w:after="140"/>
              <w:rPr>
                <w:rStyle w:val="Internetlink"/>
                <w:rFonts w:cs="Arial Narrow" w:ascii="Arial Narrow" w:hAnsi="Arial Narrow"/>
                <w:sz w:val="22"/>
                <w:szCs w:val="22"/>
              </w:rPr>
            </w:pPr>
            <w:r>
              <w:rPr>
                <w:rFonts w:eastAsia="Arial Unicode MS" w:cs="Arial Narrow" w:ascii="Arial Narrow" w:hAnsi="Arial Narrow"/>
                <w:color w:val="00000A"/>
                <w:sz w:val="22"/>
                <w:szCs w:val="22"/>
                <w:lang w:val="de-DE" w:eastAsia="zh-CN" w:bidi="hi-IN"/>
              </w:rPr>
              <w:t xml:space="preserve">Die </w:t>
            </w:r>
            <w:r>
              <w:rPr>
                <w:rFonts w:eastAsia="Arial Unicode MS" w:cs="Arial Narrow" w:ascii="Arial Narrow" w:hAnsi="Arial Narrow"/>
                <w:b w:val="false"/>
                <w:color w:val="00000A"/>
                <w:sz w:val="32"/>
                <w:szCs w:val="32"/>
                <w:lang w:val="de-DE" w:eastAsia="zh-CN" w:bidi="hi-IN"/>
              </w:rPr>
              <w:t>Wissenschaft</w:t>
            </w:r>
            <w:r>
              <w:rPr>
                <w:rFonts w:eastAsia="Arial Unicode MS" w:cs="Arial Narrow" w:ascii="Arial Narrow" w:hAnsi="Arial Narrow"/>
                <w:color w:val="00000A"/>
                <w:sz w:val="22"/>
                <w:szCs w:val="22"/>
                <w:lang w:val="de-DE" w:eastAsia="zh-CN" w:bidi="hi-IN"/>
              </w:rPr>
              <w:t xml:space="preserve"> ([früh.]</w:t>
            </w:r>
            <w:r>
              <w:rPr>
                <w:rFonts w:cs="Arial Narrow" w:ascii="Arial Narrow" w:hAnsi="Arial Narrow"/>
                <w:sz w:val="22"/>
                <w:szCs w:val="22"/>
              </w:rPr>
              <w:t xml:space="preserve"> </w:t>
            </w:r>
            <w:hyperlink r:id="rId2">
              <w:r>
                <w:rPr>
                  <w:rStyle w:val="Internetlink"/>
                  <w:rFonts w:cs="Arial Narrow" w:ascii="Arial Narrow" w:hAnsi="Arial Narrow"/>
                  <w:sz w:val="22"/>
                  <w:szCs w:val="22"/>
                </w:rPr>
                <w:t>mittelhochdeutsch</w:t>
              </w:r>
            </w:hyperlink>
            <w:r>
              <w:rPr>
                <w:rFonts w:cs="Arial Narrow" w:ascii="Arial Narrow" w:hAnsi="Arial Narrow"/>
                <w:sz w:val="22"/>
                <w:szCs w:val="22"/>
              </w:rPr>
              <w:t xml:space="preserve"> für lat. scientia; mittelhoch</w:t>
              <w:softHyphen/>
              <w:t>deutsch wizzen[t]schaft = [Vor]wissen, Genehmigung) ist der Inbegriff der Gesamt</w:t>
              <w:softHyphen/>
              <w:t>heit mensch</w:t>
              <w:softHyphen/>
              <w:t xml:space="preserve">lichen </w:t>
            </w:r>
            <w:hyperlink r:id="rId3">
              <w:r>
                <w:rPr>
                  <w:rStyle w:val="Internetlink"/>
                  <w:rFonts w:cs="Arial Narrow" w:ascii="Arial Narrow" w:hAnsi="Arial Narrow"/>
                  <w:sz w:val="22"/>
                  <w:szCs w:val="22"/>
                </w:rPr>
                <w:t>Wissens</w:t>
              </w:r>
            </w:hyperlink>
            <w:r>
              <w:rPr>
                <w:rFonts w:cs="Arial Narrow" w:ascii="Arial Narrow" w:hAnsi="Arial Narrow"/>
                <w:sz w:val="22"/>
                <w:szCs w:val="22"/>
              </w:rPr>
              <w:t xml:space="preserve"> der </w:t>
            </w:r>
            <w:hyperlink r:id="rId4">
              <w:r>
                <w:rPr>
                  <w:rStyle w:val="Internetlink"/>
                  <w:rFonts w:cs="Arial Narrow" w:ascii="Arial Narrow" w:hAnsi="Arial Narrow"/>
                  <w:sz w:val="22"/>
                  <w:szCs w:val="22"/>
                </w:rPr>
                <w:t>Erkenntnisse</w:t>
              </w:r>
            </w:hyperlink>
            <w:r>
              <w:rPr>
                <w:rFonts w:cs="Arial Narrow" w:ascii="Arial Narrow" w:hAnsi="Arial Narrow"/>
                <w:sz w:val="22"/>
                <w:szCs w:val="22"/>
              </w:rPr>
              <w:t xml:space="preserve"> und </w:t>
            </w:r>
            <w:hyperlink r:id="rId5">
              <w:r>
                <w:rPr>
                  <w:rStyle w:val="Internetlink"/>
                  <w:rFonts w:cs="Arial Narrow" w:ascii="Arial Narrow" w:hAnsi="Arial Narrow"/>
                  <w:sz w:val="22"/>
                  <w:szCs w:val="22"/>
                </w:rPr>
                <w:t>Erfahrungen</w:t>
              </w:r>
            </w:hyperlink>
            <w:r>
              <w:rPr>
                <w:rFonts w:cs="Arial Narrow" w:ascii="Arial Narrow" w:hAnsi="Arial Narrow"/>
                <w:sz w:val="22"/>
                <w:szCs w:val="22"/>
              </w:rPr>
              <w:t xml:space="preserve"> einer Zeitepoche, welches syste</w:t>
              <w:softHyphen/>
              <w:t>matisch gesammelt, aufbewahrt, gelehrt und tradiert wird.</w:t>
            </w:r>
            <w:r>
              <w:fldChar w:fldCharType="begin"/>
            </w:r>
            <w:r>
              <w:instrText> HYPERLINK "https://de.wikipedia.org/wiki/Wissenschaft" \l "cite_note-1"</w:instrText>
            </w:r>
            <w:r>
              <w:fldChar w:fldCharType="separate"/>
            </w:r>
            <w:r>
              <w:rPr>
                <w:rStyle w:val="Internetlink"/>
                <w:rFonts w:cs="Arial Narrow" w:ascii="Arial Narrow" w:hAnsi="Arial Narrow"/>
                <w:sz w:val="22"/>
                <w:szCs w:val="22"/>
              </w:rPr>
              <w:t>[1]</w:t>
            </w:r>
            <w:r>
              <w:fldChar w:fldCharType="end"/>
            </w:r>
          </w:p>
        </w:tc>
        <w:tc>
          <w:tcPr>
            <w:tcW w:w="2211" w:type="dxa"/>
            <w:tcBorders>
              <w:top w:val="single" w:sz="2" w:space="0" w:color="808080"/>
              <w:left w:val="nil"/>
              <w:bottom w:val="single" w:sz="2" w:space="0" w:color="808080"/>
              <w:insideH w:val="single" w:sz="2" w:space="0" w:color="808080"/>
              <w:right w:val="nil"/>
              <w:insideV w:val="nil"/>
            </w:tcBorders>
            <w:shd w:fill="FFFFFF" w:val="clear"/>
          </w:tcPr>
          <w:p>
            <w:pPr>
              <w:pStyle w:val="TabellenInhalt"/>
              <w:rPr>
                <w:rFonts w:cs="Arial Narrow" w:ascii="Arial Narrow" w:hAnsi="Arial Narrow"/>
                <w:color w:val="CCCCCC"/>
                <w:sz w:val="22"/>
                <w:szCs w:val="22"/>
              </w:rPr>
            </w:pPr>
            <w:bookmarkStart w:id="0" w:name="cite_ref-11"/>
            <w:bookmarkStart w:id="1" w:name="cite_ref-11"/>
            <w:bookmarkEnd w:id="1"/>
            <w:r>
              <w:rPr>
                <w:rFonts w:cs="Arial Narrow" w:ascii="Arial Narrow" w:hAnsi="Arial Narrow"/>
                <w:color w:val="CCCCCC"/>
                <w:sz w:val="22"/>
                <w:szCs w:val="22"/>
              </w:rPr>
            </w:r>
          </w:p>
        </w:tc>
        <w:tc>
          <w:tcPr>
            <w:tcW w:w="284" w:type="dxa"/>
            <w:tcBorders>
              <w:top w:val="nil"/>
              <w:left w:val="single" w:sz="2" w:space="0" w:color="808080"/>
              <w:bottom w:val="nil"/>
              <w:insideH w:val="nil"/>
              <w:right w:val="nil"/>
              <w:insideV w:val="nil"/>
            </w:tcBorders>
            <w:shd w:fill="FFFFFF" w:val="clear"/>
            <w:tcMar>
              <w:left w:w="51" w:type="dxa"/>
            </w:tcMar>
          </w:tcPr>
          <w:p>
            <w:pPr>
              <w:pStyle w:val="TabellenInhalt"/>
              <w:rPr>
                <w:rFonts w:cs="Arial Narrow" w:ascii="Arial Narrow" w:hAnsi="Arial Narrow"/>
                <w:color w:val="CCCCCC"/>
                <w:sz w:val="22"/>
                <w:szCs w:val="22"/>
              </w:rPr>
            </w:pPr>
            <w:r>
              <w:rPr>
                <w:rFonts w:cs="Arial Narrow" w:ascii="Arial Narrow" w:hAnsi="Arial Narrow"/>
                <w:color w:val="CCCCCC"/>
                <w:sz w:val="22"/>
                <w:szCs w:val="22"/>
              </w:rPr>
            </w:r>
          </w:p>
        </w:tc>
        <w:tc>
          <w:tcPr>
            <w:tcW w:w="5275" w:type="dxa"/>
            <w:vMerge w:val="restart"/>
            <w:tcBorders>
              <w:top w:val="nil"/>
              <w:left w:val="nil"/>
              <w:bottom w:val="nil"/>
              <w:insideH w:val="nil"/>
              <w:right w:val="nil"/>
              <w:insideV w:val="nil"/>
            </w:tcBorders>
            <w:shd w:fill="FFFFFF" w:val="clear"/>
          </w:tcPr>
          <w:p>
            <w:pPr>
              <w:pStyle w:val="TabellenInhalt"/>
              <w:rPr>
                <w:rFonts w:cs="Arial Narrow" w:ascii="Arial Narrow" w:hAnsi="Arial Narrow"/>
                <w:color w:val="333333"/>
                <w:sz w:val="22"/>
                <w:szCs w:val="22"/>
              </w:rPr>
            </w:pPr>
            <w:r>
              <w:rPr>
                <w:rFonts w:cs="Arial Narrow" w:ascii="Arial Narrow" w:hAnsi="Arial Narrow"/>
                <w:color w:val="333333"/>
                <w:sz w:val="22"/>
                <w:szCs w:val="22"/>
              </w:rPr>
              <w:t>Lesen Sie den links stehenden Text zügig durch und schreiben Sie abschnittsweise Stichpunkte auf.</w:t>
              <w:br/>
              <w:t>Schreiben Sie dann mit diesen Stichpunkten eine Zusam</w:t>
              <w:softHyphen/>
              <w:t>men</w:t>
              <w:softHyphen/>
              <w:t>fassung zur Bestimmung des Wissenschaftsbegriffs in die unteren Zeilen!</w:t>
            </w:r>
          </w:p>
          <w:p>
            <w:pPr>
              <w:pStyle w:val="TabellenInhalt"/>
              <w:rPr>
                <w:rFonts w:cs="Arial Narrow" w:ascii="Arial Narrow" w:hAnsi="Arial Narrow"/>
                <w:color w:val="999999"/>
                <w:sz w:val="22"/>
                <w:szCs w:val="22"/>
              </w:rPr>
            </w:pPr>
            <w:r>
              <w:rPr>
                <w:rFonts w:cs="Arial Narrow" w:ascii="Arial Narrow" w:hAnsi="Arial Narrow"/>
                <w:color w:val="999999"/>
                <w:sz w:val="22"/>
                <w:szCs w:val="22"/>
              </w:rPr>
            </w:r>
          </w:p>
          <w:tbl>
            <w:tblPr>
              <w:jc w:val="left"/>
              <w:tblInd w:w="0" w:type="dxa"/>
              <w:tblBorders>
                <w:top w:val="nil"/>
                <w:left w:val="nil"/>
                <w:bottom w:val="single" w:sz="2" w:space="0" w:color="808080"/>
                <w:insideH w:val="single" w:sz="2" w:space="0" w:color="808080"/>
                <w:right w:val="nil"/>
                <w:insideV w:val="nil"/>
              </w:tblBorders>
              <w:tblCellMar>
                <w:top w:w="28" w:type="dxa"/>
                <w:left w:w="28" w:type="dxa"/>
                <w:bottom w:w="28" w:type="dxa"/>
                <w:right w:w="28" w:type="dxa"/>
              </w:tblCellMar>
            </w:tblPr>
            <w:tblGrid>
              <w:gridCol w:w="5162"/>
            </w:tblGrid>
            <w:tr>
              <w:trPr>
                <w:cantSplit w:val="false"/>
              </w:trPr>
              <w:tc>
                <w:tcPr>
                  <w:tcW w:w="5162" w:type="dxa"/>
                  <w:tcBorders>
                    <w:top w:val="nil"/>
                    <w:left w:val="nil"/>
                    <w:bottom w:val="single" w:sz="2" w:space="0" w:color="808080"/>
                    <w:insideH w:val="single" w:sz="2" w:space="0" w:color="808080"/>
                    <w:right w:val="nil"/>
                    <w:insideV w:val="nil"/>
                  </w:tcBorders>
                  <w:shd w:fill="FFFFFF" w:val="clear"/>
                </w:tcPr>
                <w:p>
                  <w:pPr>
                    <w:pStyle w:val="TabellenInhalt"/>
                    <w:rPr>
                      <w:sz w:val="36"/>
                      <w:szCs w:val="36"/>
                    </w:rPr>
                  </w:pPr>
                  <w:r>
                    <w:rPr>
                      <w:sz w:val="36"/>
                      <w:szCs w:val="36"/>
                    </w:rPr>
                  </w:r>
                </w:p>
              </w:tc>
            </w:tr>
            <w:tr>
              <w:trPr>
                <w:cantSplit w:val="false"/>
              </w:trPr>
              <w:tc>
                <w:tcPr>
                  <w:tcW w:w="5162" w:type="dxa"/>
                  <w:tcBorders>
                    <w:top w:val="nil"/>
                    <w:left w:val="nil"/>
                    <w:bottom w:val="single" w:sz="2" w:space="0" w:color="808080"/>
                    <w:insideH w:val="single" w:sz="2" w:space="0" w:color="808080"/>
                    <w:right w:val="nil"/>
                    <w:insideV w:val="nil"/>
                  </w:tcBorders>
                  <w:shd w:fill="FFFFFF" w:val="clear"/>
                </w:tcPr>
                <w:p>
                  <w:pPr>
                    <w:pStyle w:val="TabellenInhalt"/>
                    <w:rPr>
                      <w:sz w:val="36"/>
                      <w:szCs w:val="36"/>
                    </w:rPr>
                  </w:pPr>
                  <w:r>
                    <w:rPr>
                      <w:sz w:val="36"/>
                      <w:szCs w:val="36"/>
                    </w:rPr>
                  </w:r>
                </w:p>
              </w:tc>
            </w:tr>
            <w:tr>
              <w:trPr>
                <w:cantSplit w:val="false"/>
              </w:trPr>
              <w:tc>
                <w:tcPr>
                  <w:tcW w:w="5162" w:type="dxa"/>
                  <w:tcBorders>
                    <w:top w:val="nil"/>
                    <w:left w:val="nil"/>
                    <w:bottom w:val="single" w:sz="2" w:space="0" w:color="808080"/>
                    <w:insideH w:val="single" w:sz="2" w:space="0" w:color="808080"/>
                    <w:right w:val="nil"/>
                    <w:insideV w:val="nil"/>
                  </w:tcBorders>
                  <w:shd w:fill="FFFFFF" w:val="clear"/>
                </w:tcPr>
                <w:p>
                  <w:pPr>
                    <w:pStyle w:val="TabellenInhalt"/>
                    <w:rPr>
                      <w:sz w:val="36"/>
                      <w:szCs w:val="36"/>
                    </w:rPr>
                  </w:pPr>
                  <w:r>
                    <w:rPr>
                      <w:sz w:val="36"/>
                      <w:szCs w:val="36"/>
                    </w:rPr>
                  </w:r>
                </w:p>
              </w:tc>
            </w:tr>
            <w:tr>
              <w:trPr>
                <w:cantSplit w:val="false"/>
              </w:trPr>
              <w:tc>
                <w:tcPr>
                  <w:tcW w:w="5162" w:type="dxa"/>
                  <w:tcBorders>
                    <w:top w:val="nil"/>
                    <w:left w:val="nil"/>
                    <w:bottom w:val="single" w:sz="2" w:space="0" w:color="808080"/>
                    <w:insideH w:val="single" w:sz="2" w:space="0" w:color="808080"/>
                    <w:right w:val="nil"/>
                    <w:insideV w:val="nil"/>
                  </w:tcBorders>
                  <w:shd w:fill="FFFFFF" w:val="clear"/>
                </w:tcPr>
                <w:p>
                  <w:pPr>
                    <w:pStyle w:val="TabellenInhalt"/>
                    <w:rPr>
                      <w:sz w:val="36"/>
                      <w:szCs w:val="36"/>
                    </w:rPr>
                  </w:pPr>
                  <w:r>
                    <w:rPr>
                      <w:sz w:val="36"/>
                      <w:szCs w:val="36"/>
                    </w:rPr>
                  </w:r>
                </w:p>
              </w:tc>
            </w:tr>
            <w:tr>
              <w:trPr>
                <w:cantSplit w:val="false"/>
              </w:trPr>
              <w:tc>
                <w:tcPr>
                  <w:tcW w:w="5162" w:type="dxa"/>
                  <w:tcBorders>
                    <w:top w:val="nil"/>
                    <w:left w:val="nil"/>
                    <w:bottom w:val="single" w:sz="2" w:space="0" w:color="808080"/>
                    <w:insideH w:val="single" w:sz="2" w:space="0" w:color="808080"/>
                    <w:right w:val="nil"/>
                    <w:insideV w:val="nil"/>
                  </w:tcBorders>
                  <w:shd w:fill="FFFFFF" w:val="clear"/>
                </w:tcPr>
                <w:p>
                  <w:pPr>
                    <w:pStyle w:val="TabellenInhalt"/>
                    <w:rPr>
                      <w:sz w:val="36"/>
                      <w:szCs w:val="36"/>
                    </w:rPr>
                  </w:pPr>
                  <w:r>
                    <w:rPr>
                      <w:sz w:val="36"/>
                      <w:szCs w:val="36"/>
                    </w:rPr>
                  </w:r>
                </w:p>
              </w:tc>
            </w:tr>
            <w:tr>
              <w:trPr>
                <w:cantSplit w:val="false"/>
              </w:trPr>
              <w:tc>
                <w:tcPr>
                  <w:tcW w:w="5162" w:type="dxa"/>
                  <w:tcBorders>
                    <w:top w:val="nil"/>
                    <w:left w:val="nil"/>
                    <w:bottom w:val="single" w:sz="2" w:space="0" w:color="808080"/>
                    <w:insideH w:val="single" w:sz="2" w:space="0" w:color="808080"/>
                    <w:right w:val="nil"/>
                    <w:insideV w:val="nil"/>
                  </w:tcBorders>
                  <w:shd w:fill="FFFFFF" w:val="clear"/>
                </w:tcPr>
                <w:p>
                  <w:pPr>
                    <w:pStyle w:val="TabellenInhalt"/>
                    <w:rPr>
                      <w:sz w:val="36"/>
                      <w:szCs w:val="36"/>
                    </w:rPr>
                  </w:pPr>
                  <w:r>
                    <w:rPr>
                      <w:sz w:val="36"/>
                      <w:szCs w:val="36"/>
                    </w:rPr>
                  </w:r>
                </w:p>
              </w:tc>
            </w:tr>
            <w:tr>
              <w:trPr>
                <w:cantSplit w:val="false"/>
              </w:trPr>
              <w:tc>
                <w:tcPr>
                  <w:tcW w:w="5162" w:type="dxa"/>
                  <w:tcBorders>
                    <w:top w:val="nil"/>
                    <w:left w:val="nil"/>
                    <w:bottom w:val="single" w:sz="2" w:space="0" w:color="808080"/>
                    <w:insideH w:val="single" w:sz="2" w:space="0" w:color="808080"/>
                    <w:right w:val="nil"/>
                    <w:insideV w:val="nil"/>
                  </w:tcBorders>
                  <w:shd w:fill="FFFFFF" w:val="clear"/>
                </w:tcPr>
                <w:p>
                  <w:pPr>
                    <w:pStyle w:val="TabellenInhalt"/>
                    <w:rPr>
                      <w:sz w:val="36"/>
                      <w:szCs w:val="36"/>
                    </w:rPr>
                  </w:pPr>
                  <w:r>
                    <w:rPr>
                      <w:sz w:val="36"/>
                      <w:szCs w:val="36"/>
                    </w:rPr>
                  </w:r>
                </w:p>
              </w:tc>
            </w:tr>
          </w:tbl>
          <w:p>
            <w:pPr>
              <w:pStyle w:val="TabellenInhalt"/>
              <w:rPr>
                <w:rFonts w:cs="Arial Narrow" w:ascii="Arial Narrow" w:hAnsi="Arial Narrow"/>
                <w:color w:val="333333"/>
                <w:sz w:val="22"/>
                <w:szCs w:val="22"/>
              </w:rPr>
            </w:pPr>
            <w:r>
              <w:rPr>
                <w:rFonts w:cs="Arial Narrow" w:ascii="Arial Narrow" w:hAnsi="Arial Narrow"/>
                <w:color w:val="333333"/>
                <w:sz w:val="22"/>
                <w:szCs w:val="22"/>
              </w:rPr>
            </w:r>
          </w:p>
          <w:p>
            <w:pPr>
              <w:pStyle w:val="Normal"/>
              <w:spacing w:before="0" w:after="57"/>
              <w:rPr>
                <w:rFonts w:cs="Arial Narrow" w:ascii="Arial Narrow" w:hAnsi="Arial Narrow"/>
                <w:color w:val="333333"/>
                <w:sz w:val="22"/>
                <w:szCs w:val="22"/>
              </w:rPr>
            </w:pPr>
            <w:r>
              <w:rPr>
                <w:rFonts w:cs="Arial Narrow" w:ascii="Arial Narrow" w:hAnsi="Arial Narrow"/>
                <w:color w:val="333333"/>
                <w:sz w:val="22"/>
                <w:szCs w:val="22"/>
              </w:rPr>
            </w:r>
          </w:p>
          <w:p>
            <w:pPr>
              <w:pStyle w:val="Normal"/>
              <w:spacing w:before="0" w:after="57"/>
              <w:rPr>
                <w:rFonts w:cs="Arial Narrow" w:ascii="Arial Narrow" w:hAnsi="Arial Narrow"/>
                <w:b w:val="false"/>
                <w:i w:val="false"/>
                <w:color w:val="333333"/>
                <w:sz w:val="22"/>
                <w:szCs w:val="22"/>
              </w:rPr>
            </w:pPr>
            <w:r>
              <w:rPr>
                <w:rFonts w:cs="Arial Narrow" w:ascii="Arial Narrow" w:hAnsi="Arial Narrow"/>
                <w:b w:val="false"/>
                <w:i w:val="false"/>
                <w:color w:val="333333"/>
                <w:sz w:val="22"/>
                <w:szCs w:val="22"/>
              </w:rPr>
              <w:t>Kurt Jansson über sich:</w:t>
            </w:r>
          </w:p>
          <w:p>
            <w:pPr>
              <w:pStyle w:val="Normal"/>
              <w:spacing w:before="0" w:after="57"/>
              <w:rPr>
                <w:rFonts w:cs="Arial Narrow" w:ascii="Arial Narrow" w:hAnsi="Arial Narrow"/>
                <w:b w:val="false"/>
                <w:i w:val="false"/>
                <w:color w:val="333333"/>
                <w:sz w:val="22"/>
                <w:szCs w:val="22"/>
              </w:rPr>
            </w:pPr>
            <w:r>
              <w:rPr>
                <w:rFonts w:cs="Arial Narrow" w:ascii="Arial Narrow" w:hAnsi="Arial Narrow"/>
                <w:b w:val="false"/>
                <w:i w:val="false"/>
                <w:color w:val="333333"/>
                <w:sz w:val="22"/>
                <w:szCs w:val="22"/>
              </w:rPr>
              <w:t>Bei der deutschsprachigen Wikipedia bin ich von Anfang an dabei. Neben dem Schreiben von Artikeln kümmerte ich mich schon recht bald um die Presse- und Öffentlichkeits</w:t>
              <w:softHyphen/>
              <w:t>arbeit. Seit 2014 bin ich stellvertretender Vorsitzender des Vereins Wikimedia Deutschland – Gesellschaft zur Förder</w:t>
              <w:softHyphen/>
              <w:t>ung Freien Wissens, den ich auch mitgegründet habe und dessen Erster Vorsitzender ich von 2004 bis 2009 war.</w:t>
            </w:r>
          </w:p>
          <w:p>
            <w:pPr>
              <w:pStyle w:val="Normal"/>
              <w:spacing w:before="0" w:after="57"/>
              <w:rPr>
                <w:rFonts w:cs="Arial Narrow" w:ascii="Arial Narrow" w:hAnsi="Arial Narrow"/>
                <w:b w:val="false"/>
                <w:i w:val="false"/>
                <w:color w:val="333333"/>
                <w:sz w:val="22"/>
                <w:szCs w:val="22"/>
              </w:rPr>
            </w:pPr>
            <w:r>
              <w:rPr>
                <w:rFonts w:cs="Arial Narrow" w:ascii="Arial Narrow" w:hAnsi="Arial Narrow"/>
                <w:b w:val="false"/>
                <w:i w:val="false"/>
                <w:color w:val="333333"/>
                <w:sz w:val="22"/>
                <w:szCs w:val="22"/>
              </w:rPr>
              <w:t>Ich habe Soziologie an der Uni Hannover und der FU-Berlin studiert, wohne in Hamburg und arbeite beim Spiegel an der Schnittstelle zwischen Spiegel Online, Spiegel-Doku</w:t>
              <w:softHyphen/>
              <w:t>mentation und -IT. Ehrenamtlich bin ich außerdem Mitglied des Fachbeirats Neue Medien der Hertie-Stiftung, die gemeinsam mit der Neurowissenschaftlichen Gesellschaft und dem ZKM eine umfangreiche Website zum Thema Gehirn aufgebaut hat.</w:t>
            </w:r>
          </w:p>
          <w:p>
            <w:pPr>
              <w:pStyle w:val="Normal"/>
              <w:spacing w:before="0" w:after="57"/>
              <w:rPr>
                <w:rFonts w:cs="Arial Narrow" w:ascii="Arial Narrow" w:hAnsi="Arial Narrow"/>
                <w:b w:val="false"/>
                <w:i w:val="false"/>
                <w:color w:val="333333"/>
                <w:sz w:val="22"/>
                <w:szCs w:val="22"/>
              </w:rPr>
            </w:pPr>
            <w:r>
              <w:rPr>
                <w:rFonts w:cs="Arial Narrow" w:ascii="Arial Narrow" w:hAnsi="Arial Narrow"/>
                <w:b w:val="false"/>
                <w:i w:val="false"/>
                <w:color w:val="333333"/>
                <w:sz w:val="22"/>
                <w:szCs w:val="22"/>
              </w:rPr>
            </w:r>
          </w:p>
          <w:p>
            <w:pPr>
              <w:pStyle w:val="Normal"/>
              <w:spacing w:before="0" w:after="57"/>
              <w:jc w:val="left"/>
              <w:rPr>
                <w:rFonts w:cs="Arial Narrow" w:ascii="Arial Narrow" w:hAnsi="Arial Narrow"/>
                <w:b w:val="false"/>
                <w:i w:val="false"/>
                <w:color w:val="333333"/>
                <w:sz w:val="22"/>
                <w:szCs w:val="22"/>
              </w:rPr>
            </w:pPr>
            <w:hyperlink r:id="rId6">
              <w:r>
                <w:rPr>
                  <w:rStyle w:val="Internetlink"/>
                  <w:rFonts w:cs="Arial Narrow" w:ascii="Arial Narrow" w:hAnsi="Arial Narrow"/>
                  <w:b w:val="false"/>
                  <w:i w:val="false"/>
                  <w:color w:val="333333"/>
                  <w:sz w:val="22"/>
                  <w:szCs w:val="22"/>
                </w:rPr>
                <w:t>https://de.wikipedia.org/wiki/Benutzer:Kurt_Jansson</w:t>
              </w:r>
            </w:hyperlink>
            <w:r>
              <w:rPr>
                <w:rFonts w:cs="Arial Narrow" w:ascii="Arial Narrow" w:hAnsi="Arial Narrow"/>
                <w:b w:val="false"/>
                <w:i w:val="false"/>
                <w:color w:val="333333"/>
                <w:sz w:val="22"/>
                <w:szCs w:val="22"/>
              </w:rPr>
              <w:t xml:space="preserve"> 18.8.2016</w:t>
            </w:r>
          </w:p>
        </w:tc>
      </w:tr>
      <w:tr>
        <w:trPr>
          <w:cantSplit w:val="false"/>
        </w:trPr>
        <w:tc>
          <w:tcPr>
            <w:tcW w:w="6802" w:type="dxa"/>
            <w:tcBorders>
              <w:top w:val="nil"/>
              <w:left w:val="nil"/>
              <w:bottom w:val="nil"/>
              <w:insideH w:val="nil"/>
              <w:right w:val="nil"/>
              <w:insideV w:val="nil"/>
            </w:tcBorders>
            <w:shd w:fill="FFFFFF" w:val="clear"/>
          </w:tcPr>
          <w:p>
            <w:pPr>
              <w:pStyle w:val="Textkrper"/>
              <w:spacing w:lineRule="auto" w:line="288" w:before="0" w:after="140"/>
              <w:rPr>
                <w:rStyle w:val="Internetlink"/>
                <w:rFonts w:cs="Arial Narrow" w:ascii="Arial Narrow" w:hAnsi="Arial Narrow"/>
                <w:sz w:val="22"/>
                <w:szCs w:val="22"/>
              </w:rPr>
            </w:pPr>
            <w:r>
              <w:rPr>
                <w:rFonts w:cs="Arial Narrow" w:ascii="Arial Narrow" w:hAnsi="Arial Narrow"/>
                <w:sz w:val="22"/>
                <w:szCs w:val="22"/>
              </w:rPr>
              <w:t>Die Wissenschaft ist ein System der Erkenntnisse über die wesentlichen Eigen</w:t>
              <w:softHyphen/>
              <w:t>schaften, kausalen Zusammenhänge und Gesetzmäßigkeiten der Natur, Technik, Gesellschaft und des Denkens, das in Form von Begriffen, Kategorien, Maßbe</w:t>
              <w:softHyphen/>
              <w:t>stimmungen, Gesetzen, Theorien und Hypothesen fixiert wird.</w:t>
            </w:r>
            <w:r>
              <w:fldChar w:fldCharType="begin"/>
            </w:r>
            <w:r>
              <w:instrText> HYPERLINK "https://de.wikipedia.org/wiki/Wissenschaft" \l "cite_note-Klaus.2FBuhr-2"</w:instrText>
            </w:r>
            <w:r>
              <w:fldChar w:fldCharType="separate"/>
            </w:r>
            <w:r>
              <w:rPr>
                <w:rStyle w:val="Internetlink"/>
                <w:rFonts w:cs="Arial Narrow" w:ascii="Arial Narrow" w:hAnsi="Arial Narrow"/>
                <w:sz w:val="22"/>
                <w:szCs w:val="22"/>
              </w:rPr>
              <w:t>[2]</w:t>
            </w:r>
            <w:r>
              <w:fldChar w:fldCharType="end"/>
            </w:r>
            <w:r>
              <w:rPr>
                <w:rFonts w:cs="Arial Narrow" w:ascii="Arial Narrow" w:hAnsi="Arial Narrow"/>
                <w:sz w:val="22"/>
                <w:szCs w:val="22"/>
              </w:rPr>
              <w:t xml:space="preserve"> In der Wissen</w:t>
              <w:softHyphen/>
              <w:t xml:space="preserve">schaft überleben nur Theorien (im Gegensatz zur </w:t>
            </w:r>
            <w:hyperlink r:id="rId7">
              <w:r>
                <w:rPr>
                  <w:rStyle w:val="Internetlink"/>
                  <w:rFonts w:cs="Arial Narrow" w:ascii="Arial Narrow" w:hAnsi="Arial Narrow"/>
                  <w:sz w:val="22"/>
                  <w:szCs w:val="22"/>
                </w:rPr>
                <w:t>Philosophie</w:t>
              </w:r>
            </w:hyperlink>
            <w:r>
              <w:rPr>
                <w:rFonts w:cs="Arial Narrow" w:ascii="Arial Narrow" w:hAnsi="Arial Narrow"/>
                <w:sz w:val="22"/>
                <w:szCs w:val="22"/>
              </w:rPr>
              <w:t>), die sich an der Erfahrung bewähren.</w:t>
            </w:r>
            <w:r>
              <w:fldChar w:fldCharType="begin"/>
            </w:r>
            <w:r>
              <w:instrText> HYPERLINK "https://de.wikipedia.org/wiki/Wissenschaft" \l "cite_note-3"</w:instrText>
            </w:r>
            <w:r>
              <w:fldChar w:fldCharType="separate"/>
            </w:r>
            <w:r>
              <w:rPr>
                <w:rStyle w:val="Internetlink"/>
                <w:rFonts w:cs="Arial Narrow" w:ascii="Arial Narrow" w:hAnsi="Arial Narrow"/>
                <w:sz w:val="22"/>
                <w:szCs w:val="22"/>
              </w:rPr>
              <w:t>[3]</w:t>
            </w:r>
            <w:r>
              <w:fldChar w:fldCharType="end"/>
            </w:r>
          </w:p>
        </w:tc>
        <w:tc>
          <w:tcPr>
            <w:tcW w:w="2211" w:type="dxa"/>
            <w:tcBorders>
              <w:top w:val="nil"/>
              <w:left w:val="nil"/>
              <w:bottom w:val="single" w:sz="2" w:space="0" w:color="808080"/>
              <w:insideH w:val="single" w:sz="2" w:space="0" w:color="808080"/>
              <w:right w:val="nil"/>
              <w:insideV w:val="nil"/>
            </w:tcBorders>
            <w:shd w:fill="FFFFFF" w:val="clear"/>
          </w:tcPr>
          <w:p>
            <w:pPr>
              <w:pStyle w:val="TabellenInhalt"/>
              <w:rPr>
                <w:rFonts w:cs="Arial Narrow" w:ascii="Arial Narrow" w:hAnsi="Arial Narrow"/>
                <w:color w:val="CCCCCC"/>
                <w:sz w:val="22"/>
                <w:szCs w:val="22"/>
              </w:rPr>
            </w:pPr>
            <w:bookmarkStart w:id="2" w:name="cite_ref-Klaus.2FBuhr_2-01"/>
            <w:bookmarkStart w:id="3" w:name="cite_ref-31"/>
            <w:bookmarkStart w:id="4" w:name="cite_ref-Klaus.2FBuhr_2-01"/>
            <w:bookmarkStart w:id="5" w:name="cite_ref-31"/>
            <w:bookmarkEnd w:id="4"/>
            <w:bookmarkEnd w:id="5"/>
            <w:r>
              <w:rPr>
                <w:rFonts w:cs="Arial Narrow" w:ascii="Arial Narrow" w:hAnsi="Arial Narrow"/>
                <w:color w:val="CCCCCC"/>
                <w:sz w:val="22"/>
                <w:szCs w:val="22"/>
              </w:rPr>
            </w:r>
          </w:p>
        </w:tc>
        <w:tc>
          <w:tcPr>
            <w:tcW w:w="284" w:type="dxa"/>
            <w:tcBorders>
              <w:top w:val="nil"/>
              <w:left w:val="single" w:sz="2" w:space="0" w:color="808080"/>
              <w:bottom w:val="nil"/>
              <w:insideH w:val="nil"/>
              <w:right w:val="nil"/>
              <w:insideV w:val="nil"/>
            </w:tcBorders>
            <w:shd w:fill="FFFFFF" w:val="clear"/>
            <w:tcMar>
              <w:left w:w="51" w:type="dxa"/>
            </w:tcMar>
          </w:tcPr>
          <w:p>
            <w:pPr>
              <w:pStyle w:val="TabellenInhalt"/>
              <w:rPr>
                <w:rFonts w:cs="Arial Narrow" w:ascii="Arial Narrow" w:hAnsi="Arial Narrow"/>
                <w:color w:val="CCCCCC"/>
                <w:sz w:val="22"/>
                <w:szCs w:val="22"/>
              </w:rPr>
            </w:pPr>
            <w:r>
              <w:rPr>
                <w:rFonts w:cs="Arial Narrow" w:ascii="Arial Narrow" w:hAnsi="Arial Narrow"/>
                <w:color w:val="CCCCCC"/>
                <w:sz w:val="22"/>
                <w:szCs w:val="22"/>
              </w:rPr>
            </w:r>
          </w:p>
        </w:tc>
        <w:tc>
          <w:tcPr>
            <w:tcW w:w="5275" w:type="dxa"/>
            <w:vMerge w:val="continue"/>
            <w:tcBorders>
              <w:top w:val="nil"/>
              <w:left w:val="nil"/>
              <w:bottom w:val="nil"/>
              <w:insideH w:val="nil"/>
              <w:right w:val="nil"/>
              <w:insideV w:val="nil"/>
            </w:tcBorders>
            <w:shd w:fill="FFFFFF" w:val="clear"/>
          </w:tcPr>
          <w:p>
            <w:pPr>
              <w:pStyle w:val="TabellenInhalt"/>
              <w:rPr>
                <w:rFonts w:cs="Arial Narrow" w:ascii="Arial Narrow" w:hAnsi="Arial Narrow"/>
                <w:color w:val="CCCCCC"/>
                <w:sz w:val="22"/>
                <w:szCs w:val="22"/>
              </w:rPr>
            </w:pPr>
            <w:r>
              <w:rPr>
                <w:rFonts w:cs="Arial Narrow" w:ascii="Arial Narrow" w:hAnsi="Arial Narrow"/>
                <w:color w:val="CCCCCC"/>
                <w:sz w:val="22"/>
                <w:szCs w:val="22"/>
              </w:rPr>
            </w:r>
          </w:p>
        </w:tc>
      </w:tr>
      <w:tr>
        <w:trPr>
          <w:cantSplit w:val="false"/>
        </w:trPr>
        <w:tc>
          <w:tcPr>
            <w:tcW w:w="6802" w:type="dxa"/>
            <w:tcBorders>
              <w:top w:val="nil"/>
              <w:left w:val="nil"/>
              <w:bottom w:val="nil"/>
              <w:insideH w:val="nil"/>
              <w:right w:val="nil"/>
              <w:insideV w:val="nil"/>
            </w:tcBorders>
            <w:shd w:fill="FFFFFF" w:val="clear"/>
          </w:tcPr>
          <w:p>
            <w:pPr>
              <w:pStyle w:val="Textkrper"/>
              <w:spacing w:before="0" w:after="140"/>
              <w:rPr>
                <w:rFonts w:cs="Arial Narrow" w:ascii="Arial Narrow" w:hAnsi="Arial Narrow"/>
                <w:sz w:val="22"/>
                <w:szCs w:val="22"/>
              </w:rPr>
            </w:pPr>
            <w:r>
              <w:rPr>
                <w:rFonts w:cs="Arial Narrow" w:ascii="Arial Narrow" w:hAnsi="Arial Narrow"/>
                <w:sz w:val="22"/>
                <w:szCs w:val="22"/>
              </w:rPr>
              <w:t>Die Wissenschaft ist auch die Gesamtheit von Erkenntnissen und Erfahrungen, die sich auf einen Gegenstandsbereich beziehen und in einem Begründungszusam</w:t>
              <w:softHyphen/>
              <w:t>menhang stehen. Das Wissen eines begrenzten Gegenstandsbereich kennzeichnet die Einzel</w:t>
              <w:softHyphen/>
              <w:t>wissenschaft, die sich in einen theoretischen und einen angewandten Bereich gliedert und mit fortschreitender Differenzierung eine Reihe von Teildis</w:t>
              <w:softHyphen/>
              <w:t>ziplinen hervorbringen kann. Eine Einzelwissenschaft ist somit auch das Wissen in eigener Angelegenheit.</w:t>
            </w:r>
          </w:p>
        </w:tc>
        <w:tc>
          <w:tcPr>
            <w:tcW w:w="2211" w:type="dxa"/>
            <w:tcBorders>
              <w:top w:val="nil"/>
              <w:left w:val="nil"/>
              <w:bottom w:val="single" w:sz="2" w:space="0" w:color="808080"/>
              <w:insideH w:val="single" w:sz="2" w:space="0" w:color="808080"/>
              <w:right w:val="nil"/>
              <w:insideV w:val="nil"/>
            </w:tcBorders>
            <w:shd w:fill="FFFFFF" w:val="clear"/>
          </w:tcPr>
          <w:p>
            <w:pPr>
              <w:pStyle w:val="TabellenInhalt"/>
              <w:rPr>
                <w:rFonts w:cs="Arial Narrow" w:ascii="Arial Narrow" w:hAnsi="Arial Narrow"/>
                <w:color w:val="CCCCCC"/>
                <w:sz w:val="22"/>
                <w:szCs w:val="22"/>
              </w:rPr>
            </w:pPr>
            <w:r>
              <w:rPr>
                <w:rFonts w:cs="Arial Narrow" w:ascii="Arial Narrow" w:hAnsi="Arial Narrow"/>
                <w:color w:val="CCCCCC"/>
                <w:sz w:val="22"/>
                <w:szCs w:val="22"/>
              </w:rPr>
            </w:r>
          </w:p>
        </w:tc>
        <w:tc>
          <w:tcPr>
            <w:tcW w:w="284" w:type="dxa"/>
            <w:tcBorders>
              <w:top w:val="nil"/>
              <w:left w:val="single" w:sz="2" w:space="0" w:color="808080"/>
              <w:bottom w:val="nil"/>
              <w:insideH w:val="nil"/>
              <w:right w:val="nil"/>
              <w:insideV w:val="nil"/>
            </w:tcBorders>
            <w:shd w:fill="FFFFFF" w:val="clear"/>
            <w:tcMar>
              <w:left w:w="51" w:type="dxa"/>
            </w:tcMar>
          </w:tcPr>
          <w:p>
            <w:pPr>
              <w:pStyle w:val="TabellenInhalt"/>
              <w:rPr>
                <w:rFonts w:cs="Arial Narrow" w:ascii="Arial Narrow" w:hAnsi="Arial Narrow"/>
                <w:color w:val="CCCCCC"/>
                <w:sz w:val="22"/>
                <w:szCs w:val="22"/>
              </w:rPr>
            </w:pPr>
            <w:r>
              <w:rPr>
                <w:rFonts w:cs="Arial Narrow" w:ascii="Arial Narrow" w:hAnsi="Arial Narrow"/>
                <w:color w:val="CCCCCC"/>
                <w:sz w:val="22"/>
                <w:szCs w:val="22"/>
              </w:rPr>
            </w:r>
          </w:p>
        </w:tc>
        <w:tc>
          <w:tcPr>
            <w:tcW w:w="5275" w:type="dxa"/>
            <w:vMerge w:val="continue"/>
            <w:tcBorders>
              <w:top w:val="nil"/>
              <w:left w:val="nil"/>
              <w:bottom w:val="nil"/>
              <w:insideH w:val="nil"/>
              <w:right w:val="nil"/>
              <w:insideV w:val="nil"/>
            </w:tcBorders>
            <w:shd w:fill="FFFFFF" w:val="clear"/>
          </w:tcPr>
          <w:p>
            <w:pPr>
              <w:pStyle w:val="Normal"/>
              <w:spacing w:before="0" w:after="57"/>
              <w:jc w:val="right"/>
              <w:rPr>
                <w:rFonts w:cs="Arial Narrow" w:ascii="Arial Narrow" w:hAnsi="Arial Narrow"/>
                <w:b w:val="false"/>
                <w:i w:val="false"/>
                <w:color w:val="333333"/>
                <w:sz w:val="22"/>
                <w:szCs w:val="22"/>
              </w:rPr>
            </w:pPr>
            <w:r>
              <w:rPr>
                <w:rFonts w:cs="Arial Narrow" w:ascii="Arial Narrow" w:hAnsi="Arial Narrow"/>
                <w:b w:val="false"/>
                <w:i w:val="false"/>
                <w:color w:val="333333"/>
                <w:sz w:val="22"/>
                <w:szCs w:val="22"/>
              </w:rPr>
            </w:r>
          </w:p>
        </w:tc>
      </w:tr>
      <w:tr>
        <w:trPr>
          <w:cantSplit w:val="false"/>
        </w:trPr>
        <w:tc>
          <w:tcPr>
            <w:tcW w:w="6802" w:type="dxa"/>
            <w:tcBorders>
              <w:top w:val="nil"/>
              <w:left w:val="nil"/>
              <w:bottom w:val="single" w:sz="2" w:space="0" w:color="808080"/>
              <w:insideH w:val="single" w:sz="2" w:space="0" w:color="808080"/>
              <w:right w:val="nil"/>
              <w:insideV w:val="nil"/>
            </w:tcBorders>
            <w:shd w:fill="FFFFFF" w:val="clear"/>
          </w:tcPr>
          <w:p>
            <w:pPr>
              <w:pStyle w:val="Textkrper"/>
              <w:spacing w:lineRule="auto" w:line="288" w:before="0" w:after="140"/>
              <w:rPr>
                <w:rStyle w:val="Internetlink"/>
                <w:rFonts w:cs="Arial Narrow" w:ascii="Arial Narrow" w:hAnsi="Arial Narrow"/>
                <w:sz w:val="22"/>
                <w:szCs w:val="22"/>
              </w:rPr>
            </w:pPr>
            <w:r>
              <w:rPr>
                <w:rFonts w:cs="Arial Narrow" w:ascii="Arial Narrow" w:hAnsi="Arial Narrow"/>
                <w:sz w:val="22"/>
                <w:szCs w:val="22"/>
              </w:rPr>
              <w:t xml:space="preserve">Mit Wissenschaft ist auch der </w:t>
            </w:r>
            <w:hyperlink r:id="rId8">
              <w:r>
                <w:rPr>
                  <w:rStyle w:val="Internetlink"/>
                  <w:rFonts w:cs="Arial Narrow" w:ascii="Arial Narrow" w:hAnsi="Arial Narrow"/>
                  <w:sz w:val="22"/>
                  <w:szCs w:val="22"/>
                </w:rPr>
                <w:t>methodische</w:t>
              </w:r>
            </w:hyperlink>
            <w:r>
              <w:rPr>
                <w:rFonts w:cs="Arial Narrow" w:ascii="Arial Narrow" w:hAnsi="Arial Narrow"/>
                <w:sz w:val="22"/>
                <w:szCs w:val="22"/>
              </w:rPr>
              <w:t xml:space="preserve"> </w:t>
            </w:r>
            <w:hyperlink r:id="rId9">
              <w:r>
                <w:rPr>
                  <w:rStyle w:val="Internetlink"/>
                  <w:rFonts w:cs="Arial Narrow" w:ascii="Arial Narrow" w:hAnsi="Arial Narrow"/>
                  <w:sz w:val="22"/>
                  <w:szCs w:val="22"/>
                </w:rPr>
                <w:t>Prozess</w:t>
              </w:r>
            </w:hyperlink>
            <w:r>
              <w:rPr>
                <w:rFonts w:cs="Arial Narrow" w:ascii="Arial Narrow" w:hAnsi="Arial Narrow"/>
                <w:sz w:val="22"/>
                <w:szCs w:val="22"/>
              </w:rPr>
              <w:t xml:space="preserve"> intersubjektiv nachvollzieh</w:t>
              <w:softHyphen/>
              <w:t xml:space="preserve">baren </w:t>
            </w:r>
            <w:hyperlink r:id="rId10">
              <w:r>
                <w:rPr>
                  <w:rStyle w:val="Internetlink"/>
                  <w:rFonts w:cs="Arial Narrow" w:ascii="Arial Narrow" w:hAnsi="Arial Narrow"/>
                  <w:sz w:val="22"/>
                  <w:szCs w:val="22"/>
                </w:rPr>
                <w:t>Forschens</w:t>
              </w:r>
            </w:hyperlink>
            <w:r>
              <w:rPr>
                <w:rFonts w:cs="Arial Narrow" w:ascii="Arial Narrow" w:hAnsi="Arial Narrow"/>
                <w:sz w:val="22"/>
                <w:szCs w:val="22"/>
              </w:rPr>
              <w:t xml:space="preserve"> und Erkennens in einem bestimmten Bereich gemeint, der ein begründetes, geordnetes und gesichertes Wissen hervorbringt. Methodisch kennzeichnet die Wissen</w:t>
              <w:softHyphen/>
              <w:t>schaft das gesicherte und im Begründungszusammen</w:t>
              <w:softHyphen/>
              <w:t>hang von Sätzen gestellte Wissen, welches kommunizierbar und überprüfbar ist sowie bestimmten wissenschaftlichen Kriterien folgt. Wissenschaft bezeichnet somit ein zusammenhängendes System von Aussagen, Theorien und Verfahrensweisen, das strengen Prüfungen der Geltung unterzogen wurde und mit dem Anspruch objektiver, überpersönlicher Gültigkeit verbunden ist.</w:t>
            </w:r>
            <w:r>
              <w:fldChar w:fldCharType="begin"/>
            </w:r>
            <w:r>
              <w:instrText> HYPERLINK "https://de.wikipedia.org/wiki/Wissenschaft" \l "cite_note-4"</w:instrText>
            </w:r>
            <w:r>
              <w:fldChar w:fldCharType="separate"/>
            </w:r>
            <w:r>
              <w:rPr>
                <w:rStyle w:val="Internetlink"/>
                <w:rFonts w:cs="Arial Narrow" w:ascii="Arial Narrow" w:hAnsi="Arial Narrow"/>
                <w:sz w:val="22"/>
                <w:szCs w:val="22"/>
              </w:rPr>
              <w:t>[4]</w:t>
            </w:r>
            <w:r>
              <w:fldChar w:fldCharType="end"/>
            </w:r>
          </w:p>
        </w:tc>
        <w:tc>
          <w:tcPr>
            <w:tcW w:w="2211" w:type="dxa"/>
            <w:tcBorders>
              <w:top w:val="nil"/>
              <w:left w:val="nil"/>
              <w:bottom w:val="single" w:sz="2" w:space="0" w:color="808080"/>
              <w:insideH w:val="single" w:sz="2" w:space="0" w:color="808080"/>
              <w:right w:val="nil"/>
              <w:insideV w:val="nil"/>
            </w:tcBorders>
            <w:shd w:fill="FFFFFF" w:val="clear"/>
          </w:tcPr>
          <w:p>
            <w:pPr>
              <w:pStyle w:val="TabellenInhalt"/>
              <w:rPr>
                <w:rFonts w:cs="Arial Narrow" w:ascii="Arial Narrow" w:hAnsi="Arial Narrow"/>
                <w:color w:val="CCCCCC"/>
                <w:sz w:val="22"/>
                <w:szCs w:val="22"/>
              </w:rPr>
            </w:pPr>
            <w:bookmarkStart w:id="6" w:name="cite_ref-41"/>
            <w:bookmarkStart w:id="7" w:name="cite_ref-41"/>
            <w:bookmarkEnd w:id="7"/>
            <w:r>
              <w:rPr>
                <w:rFonts w:cs="Arial Narrow" w:ascii="Arial Narrow" w:hAnsi="Arial Narrow"/>
                <w:color w:val="CCCCCC"/>
                <w:sz w:val="22"/>
                <w:szCs w:val="22"/>
              </w:rPr>
            </w:r>
          </w:p>
        </w:tc>
        <w:tc>
          <w:tcPr>
            <w:tcW w:w="284" w:type="dxa"/>
            <w:tcBorders>
              <w:top w:val="nil"/>
              <w:left w:val="single" w:sz="2" w:space="0" w:color="808080"/>
              <w:bottom w:val="nil"/>
              <w:insideH w:val="nil"/>
              <w:right w:val="nil"/>
              <w:insideV w:val="nil"/>
            </w:tcBorders>
            <w:shd w:fill="FFFFFF" w:val="clear"/>
            <w:tcMar>
              <w:left w:w="51" w:type="dxa"/>
            </w:tcMar>
          </w:tcPr>
          <w:p>
            <w:pPr>
              <w:pStyle w:val="TabellenInhalt"/>
              <w:rPr>
                <w:rFonts w:cs="Arial Narrow" w:ascii="Arial Narrow" w:hAnsi="Arial Narrow"/>
                <w:color w:val="CCCCCC"/>
                <w:sz w:val="22"/>
                <w:szCs w:val="22"/>
              </w:rPr>
            </w:pPr>
            <w:r>
              <w:rPr>
                <w:rFonts w:cs="Arial Narrow" w:ascii="Arial Narrow" w:hAnsi="Arial Narrow"/>
                <w:color w:val="CCCCCC"/>
                <w:sz w:val="22"/>
                <w:szCs w:val="22"/>
              </w:rPr>
            </w:r>
          </w:p>
        </w:tc>
        <w:tc>
          <w:tcPr>
            <w:tcW w:w="5275" w:type="dxa"/>
            <w:vMerge w:val="continue"/>
            <w:tcBorders>
              <w:top w:val="nil"/>
              <w:left w:val="nil"/>
              <w:bottom w:val="nil"/>
              <w:insideH w:val="nil"/>
              <w:right w:val="nil"/>
              <w:insideV w:val="nil"/>
            </w:tcBorders>
            <w:shd w:fill="FFFFFF" w:val="clear"/>
          </w:tcPr>
          <w:p>
            <w:pPr>
              <w:pStyle w:val="Normal"/>
              <w:jc w:val="right"/>
              <w:rPr>
                <w:rFonts w:cs="Arial Narrow" w:ascii="Arial Narrow" w:hAnsi="Arial Narrow"/>
                <w:b w:val="false"/>
                <w:i w:val="false"/>
                <w:color w:val="333333"/>
                <w:sz w:val="22"/>
                <w:szCs w:val="22"/>
              </w:rPr>
            </w:pPr>
            <w:r>
              <w:rPr>
                <w:rFonts w:cs="Arial Narrow" w:ascii="Arial Narrow" w:hAnsi="Arial Narrow"/>
                <w:b w:val="false"/>
                <w:i w:val="false"/>
                <w:color w:val="333333"/>
                <w:sz w:val="22"/>
                <w:szCs w:val="22"/>
              </w:rPr>
            </w:r>
          </w:p>
        </w:tc>
      </w:tr>
      <w:tr>
        <w:trPr>
          <w:cantSplit w:val="false"/>
        </w:trPr>
        <w:tc>
          <w:tcPr>
            <w:tcW w:w="6802" w:type="dxa"/>
            <w:tcBorders>
              <w:top w:val="nil"/>
              <w:left w:val="nil"/>
              <w:bottom w:val="nil"/>
              <w:insideH w:val="nil"/>
              <w:right w:val="nil"/>
              <w:insideV w:val="nil"/>
            </w:tcBorders>
            <w:shd w:fill="FFFFFF" w:val="clear"/>
          </w:tcPr>
          <w:p>
            <w:pPr>
              <w:pStyle w:val="Normal"/>
              <w:spacing w:lineRule="auto" w:line="288" w:before="0" w:after="140"/>
              <w:jc w:val="right"/>
              <w:rPr>
                <w:rFonts w:cs="Arial Narrow" w:ascii="Arial Narrow" w:hAnsi="Arial Narrow"/>
                <w:sz w:val="22"/>
                <w:szCs w:val="22"/>
              </w:rPr>
            </w:pPr>
            <w:r>
              <w:rPr>
                <w:rFonts w:cs="Arial Narrow" w:ascii="Arial Narrow" w:hAnsi="Arial Narrow"/>
                <w:sz w:val="22"/>
                <w:szCs w:val="22"/>
              </w:rPr>
              <w:br/>
              <w:t xml:space="preserve">Kurt Jansson u. a.: Wissenschaft. 2002-2016, </w:t>
            </w:r>
            <w:hyperlink r:id="rId11">
              <w:r>
                <w:rPr>
                  <w:rStyle w:val="Internetlink"/>
                  <w:rFonts w:cs="Arial Narrow" w:ascii="Arial Narrow" w:hAnsi="Arial Narrow"/>
                  <w:sz w:val="22"/>
                  <w:szCs w:val="22"/>
                </w:rPr>
                <w:t>https://de.wikipedia.org/wiki/Wissenschaft</w:t>
              </w:r>
            </w:hyperlink>
            <w:r>
              <w:rPr>
                <w:rFonts w:cs="Arial Narrow" w:ascii="Arial Narrow" w:hAnsi="Arial Narrow"/>
                <w:sz w:val="22"/>
                <w:szCs w:val="22"/>
              </w:rPr>
              <w:t xml:space="preserve">  18.8.2016</w:t>
            </w:r>
          </w:p>
        </w:tc>
        <w:tc>
          <w:tcPr>
            <w:tcW w:w="2211" w:type="dxa"/>
            <w:tcBorders>
              <w:top w:val="nil"/>
              <w:left w:val="nil"/>
              <w:bottom w:val="nil"/>
              <w:insideH w:val="nil"/>
              <w:right w:val="nil"/>
              <w:insideV w:val="nil"/>
            </w:tcBorders>
            <w:shd w:fill="FFFFFF" w:val="clear"/>
          </w:tcPr>
          <w:p>
            <w:pPr>
              <w:pStyle w:val="TabellenInhalt"/>
              <w:rPr>
                <w:rFonts w:cs="Arial Narrow" w:ascii="Arial Narrow" w:hAnsi="Arial Narrow"/>
                <w:color w:val="CCCCCC"/>
                <w:sz w:val="22"/>
                <w:szCs w:val="22"/>
              </w:rPr>
            </w:pPr>
            <w:r>
              <w:rPr>
                <w:rFonts w:cs="Arial Narrow" w:ascii="Arial Narrow" w:hAnsi="Arial Narrow"/>
                <w:color w:val="CCCCCC"/>
                <w:sz w:val="22"/>
                <w:szCs w:val="22"/>
              </w:rPr>
            </w:r>
          </w:p>
        </w:tc>
        <w:tc>
          <w:tcPr>
            <w:tcW w:w="284" w:type="dxa"/>
            <w:tcBorders>
              <w:top w:val="nil"/>
              <w:left w:val="nil"/>
              <w:bottom w:val="nil"/>
              <w:insideH w:val="nil"/>
              <w:right w:val="nil"/>
              <w:insideV w:val="nil"/>
            </w:tcBorders>
            <w:shd w:fill="FFFFFF" w:val="clear"/>
          </w:tcPr>
          <w:p>
            <w:pPr>
              <w:pStyle w:val="TabellenInhalt"/>
              <w:rPr>
                <w:rFonts w:cs="Arial Narrow" w:ascii="Arial Narrow" w:hAnsi="Arial Narrow"/>
                <w:color w:val="CCCCCC"/>
                <w:sz w:val="22"/>
                <w:szCs w:val="22"/>
              </w:rPr>
            </w:pPr>
            <w:r>
              <w:rPr>
                <w:rFonts w:cs="Arial Narrow" w:ascii="Arial Narrow" w:hAnsi="Arial Narrow"/>
                <w:color w:val="CCCCCC"/>
                <w:sz w:val="22"/>
                <w:szCs w:val="22"/>
              </w:rPr>
            </w:r>
          </w:p>
        </w:tc>
        <w:tc>
          <w:tcPr>
            <w:tcW w:w="5275" w:type="dxa"/>
            <w:vMerge w:val="continue"/>
            <w:tcBorders>
              <w:top w:val="nil"/>
              <w:left w:val="nil"/>
              <w:bottom w:val="nil"/>
              <w:insideH w:val="nil"/>
              <w:right w:val="nil"/>
              <w:insideV w:val="nil"/>
            </w:tcBorders>
            <w:shd w:fill="FFFFFF" w:val="clear"/>
          </w:tcPr>
          <w:p>
            <w:pPr>
              <w:pStyle w:val="TabellenInhalt"/>
              <w:rPr>
                <w:rFonts w:cs="Arial Narrow" w:ascii="Arial Narrow" w:hAnsi="Arial Narrow"/>
                <w:color w:val="CCCCCC"/>
                <w:sz w:val="22"/>
                <w:szCs w:val="22"/>
              </w:rPr>
            </w:pPr>
            <w:r>
              <w:rPr>
                <w:rFonts w:cs="Arial Narrow" w:ascii="Arial Narrow" w:hAnsi="Arial Narrow"/>
                <w:color w:val="CCCCCC"/>
                <w:sz w:val="22"/>
                <w:szCs w:val="22"/>
              </w:rPr>
            </w:r>
          </w:p>
        </w:tc>
      </w:tr>
    </w:tbl>
    <w:p>
      <w:pPr>
        <w:pStyle w:val="Normal"/>
        <w:rPr/>
      </w:pPr>
      <w:r>
        <w:rPr/>
      </w:r>
    </w:p>
    <w:sectPr>
      <w:type w:val="nextPage"/>
      <w:pgSz w:orient="landscape" w:w="16838" w:h="11906"/>
      <w:pgMar w:left="1134" w:right="1134" w:header="0" w:top="567" w:footer="0" w:bottom="56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kkurat-Light">
    <w:charset w:val="01"/>
    <w:family w:val="auto"/>
    <w:pitch w:val="default"/>
  </w:font>
  <w:font w:name="Arial Narrow">
    <w:charset w:val="01"/>
    <w:family w:val="auto"/>
    <w:pitch w:val="default"/>
  </w:font>
</w:fonts>
</file>

<file path=word/settings.xml><?xml version="1.0" encoding="utf-8"?>
<w:settings xmlns:w="http://schemas.openxmlformats.org/wordprocessingml/2006/main">
  <w:zoom w:percent="38"/>
  <w:defaultTabStop w:val="709"/>
</w:settings>
</file>

<file path=word/styles.xml><?xml version="1.0" encoding="utf-8"?>
<w:styles xmlns:w="http://schemas.openxmlformats.org/wordprocessingml/2006/main">
  <w:docDefaults>
    <w:rPrDefault>
      <w:rPr>
        <w:rFonts w:ascii="Akkurat-Light" w:hAnsi="Akkurat-Light" w:eastAsia="Arial Unicode MS" w:cs="Lucida Sans"/>
        <w:sz w:val="22"/>
        <w:szCs w:val="24"/>
        <w:lang w:val="de-DE" w:eastAsia="zh-CN" w:bidi="hi-IN"/>
      </w:rPr>
    </w:rPrDefault>
    <w:pPrDefault>
      <w:pPr/>
    </w:pPrDefault>
  </w:docDefaults>
  <w:style w:type="paragraph" w:styleId="Normal">
    <w:name w:val="Normal"/>
    <w:pPr>
      <w:widowControl w:val="false"/>
      <w:suppressAutoHyphens w:val="true"/>
      <w:bidi w:val="0"/>
      <w:jc w:val="left"/>
    </w:pPr>
    <w:rPr>
      <w:rFonts w:ascii="Akkurat-Light" w:hAnsi="Akkurat-Light" w:eastAsia="Arial Unicode MS" w:cs="Lucida Sans"/>
      <w:color w:val="00000A"/>
      <w:sz w:val="22"/>
      <w:szCs w:val="24"/>
      <w:lang w:val="de-DE" w:eastAsia="zh-CN" w:bidi="hi-IN"/>
    </w:rPr>
  </w:style>
  <w:style w:type="character" w:styleId="Internetlink">
    <w:name w:val="Internetlink"/>
    <w:rPr>
      <w:color w:val="000080"/>
      <w:u w:val="single"/>
      <w:lang w:val="zxx" w:eastAsia="zxx" w:bidi="zxx"/>
    </w:rPr>
  </w:style>
  <w:style w:type="character" w:styleId="BesuchterInternetlink">
    <w:name w:val="Besuchter Internetlink"/>
    <w:rPr>
      <w:color w:val="800000"/>
      <w:u w:val="single"/>
      <w:lang w:val="zxx" w:eastAsia="zxx" w:bidi="zxx"/>
    </w:rPr>
  </w:style>
  <w:style w:type="paragraph" w:styleId="Berschrift">
    <w:name w:val="Überschrift"/>
    <w:basedOn w:val="Normal"/>
    <w:next w:val="Textkrper"/>
    <w:pPr>
      <w:keepNext/>
      <w:spacing w:before="240" w:after="120"/>
    </w:pPr>
    <w:rPr>
      <w:rFonts w:ascii="Akkurat-Light" w:hAnsi="Akkurat-Light" w:eastAsia="Arial Unicode MS" w:cs="Lucida Sans"/>
      <w:sz w:val="22"/>
      <w:szCs w:val="28"/>
    </w:rPr>
  </w:style>
  <w:style w:type="paragraph" w:styleId="Textkrper">
    <w:name w:val="Textkörper"/>
    <w:basedOn w:val="Normal"/>
    <w:pPr>
      <w:spacing w:lineRule="auto" w:line="288" w:before="0" w:after="140"/>
    </w:pPr>
    <w:rPr/>
  </w:style>
  <w:style w:type="paragraph" w:styleId="Liste">
    <w:name w:val="Liste"/>
    <w:basedOn w:val="Textkrper"/>
    <w:pPr/>
    <w:rPr>
      <w:rFonts w:ascii="Akkurat-Light" w:hAnsi="Akkurat-Light" w:cs="Lucida Sans"/>
    </w:rPr>
  </w:style>
  <w:style w:type="paragraph" w:styleId="Beschriftung">
    <w:name w:val="Beschriftung"/>
    <w:basedOn w:val="Normal"/>
    <w:pPr>
      <w:suppressLineNumbers/>
      <w:spacing w:before="120" w:after="120"/>
    </w:pPr>
    <w:rPr>
      <w:rFonts w:ascii="Akkurat-Light" w:hAnsi="Akkurat-Light" w:cs="Lucida Sans"/>
      <w:i/>
      <w:iCs/>
      <w:sz w:val="22"/>
      <w:szCs w:val="24"/>
    </w:rPr>
  </w:style>
  <w:style w:type="paragraph" w:styleId="Verzeichnis">
    <w:name w:val="Verzeichnis"/>
    <w:basedOn w:val="Normal"/>
    <w:pPr>
      <w:suppressLineNumbers/>
    </w:pPr>
    <w:rPr>
      <w:rFonts w:ascii="Akkurat-Light" w:hAnsi="Akkurat-Light" w:cs="Lucida Sans"/>
    </w:rPr>
  </w:style>
  <w:style w:type="paragraph" w:styleId="TabellenInhalt">
    <w:name w:val="Tabellen Inhalt"/>
    <w:basedOn w:val="Normal"/>
    <w:pPr>
      <w:suppressLineNumbers/>
    </w:pPr>
    <w:rPr/>
  </w:style>
  <w:style w:type="paragraph" w:styleId="Tabellenberschrift">
    <w:name w:val="Tabellen Überschrift"/>
    <w:basedOn w:val="TabellenInhal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e.wikipedia.org/wiki/Mittelhochdeutsch" TargetMode="External"/><Relationship Id="rId3" Type="http://schemas.openxmlformats.org/officeDocument/2006/relationships/hyperlink" Target="https://de.wikipedia.org/wiki/Wissen" TargetMode="External"/><Relationship Id="rId4" Type="http://schemas.openxmlformats.org/officeDocument/2006/relationships/hyperlink" Target="https://de.wikipedia.org/wiki/Erkenntnis" TargetMode="External"/><Relationship Id="rId5" Type="http://schemas.openxmlformats.org/officeDocument/2006/relationships/hyperlink" Target="https://de.wikipedia.org/wiki/Erfahrung" TargetMode="External"/><Relationship Id="rId6" Type="http://schemas.openxmlformats.org/officeDocument/2006/relationships/hyperlink" Target="https://de.wikipedia.org/wiki/Benutzer:Kurt_Jansson" TargetMode="External"/><Relationship Id="rId7" Type="http://schemas.openxmlformats.org/officeDocument/2006/relationships/hyperlink" Target="https://de.wikipedia.org/wiki/Philosophie" TargetMode="External"/><Relationship Id="rId8" Type="http://schemas.openxmlformats.org/officeDocument/2006/relationships/hyperlink" Target="https://de.wikipedia.org/wiki/Methodik" TargetMode="External"/><Relationship Id="rId9" Type="http://schemas.openxmlformats.org/officeDocument/2006/relationships/hyperlink" Target="https://de.wikipedia.org/wiki/Prozess" TargetMode="External"/><Relationship Id="rId10" Type="http://schemas.openxmlformats.org/officeDocument/2006/relationships/hyperlink" Target="https://de.wikipedia.org/wiki/Forschung" TargetMode="External"/><Relationship Id="rId11" Type="http://schemas.openxmlformats.org/officeDocument/2006/relationships/hyperlink" Target="https://de.wikipedia.org/wiki/Wissenschaft" TargetMode="External"/><Relationship Id="rId12" Type="http://schemas.openxmlformats.org/officeDocument/2006/relationships/fontTable" Target="fontTable.xml"/><Relationship Id="rId1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988304</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2016-08-18T06:54:21Z</dcterms:created>
  <dc:language>de-DE</dc:language>
  <cp:lastPrinted>2018-02-10T22:27:00Z</cp:lastPrinted>
  <cp:revision>0</cp:revision>
</cp:coreProperties>
</file>